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95AF71" w14:textId="21A374EE"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D66AD1">
        <w:t>10</w:t>
      </w:r>
      <w:r w:rsidR="00673779">
        <w:t>7-e</w:t>
      </w:r>
      <w:r w:rsidRPr="00CE0424">
        <w:tab/>
      </w:r>
      <w:r w:rsidR="00091557" w:rsidRPr="00CE0424">
        <w:rPr>
          <w:sz w:val="32"/>
          <w:szCs w:val="32"/>
        </w:rPr>
        <w:t>R</w:t>
      </w:r>
      <w:r w:rsidR="008F1C4E">
        <w:rPr>
          <w:sz w:val="32"/>
          <w:szCs w:val="32"/>
        </w:rPr>
        <w:t>1</w:t>
      </w:r>
      <w:r w:rsidR="00091557" w:rsidRPr="00CE0424">
        <w:rPr>
          <w:sz w:val="32"/>
          <w:szCs w:val="32"/>
        </w:rPr>
        <w:t>-</w:t>
      </w:r>
      <w:r w:rsidR="003100A0" w:rsidRPr="008172A9">
        <w:rPr>
          <w:sz w:val="32"/>
          <w:szCs w:val="32"/>
        </w:rPr>
        <w:t>21</w:t>
      </w:r>
      <w:r w:rsidR="003100A0">
        <w:rPr>
          <w:sz w:val="32"/>
          <w:szCs w:val="32"/>
        </w:rPr>
        <w:t>12358</w:t>
      </w:r>
    </w:p>
    <w:p w14:paraId="7A785239" w14:textId="01865BE6" w:rsidR="00E90E49" w:rsidRPr="00CE0424" w:rsidRDefault="00673779" w:rsidP="00311702">
      <w:pPr>
        <w:pStyle w:val="3GPPHeader"/>
      </w:pPr>
      <w:r w:rsidRPr="00673779">
        <w:t>Online</w:t>
      </w:r>
      <w:r w:rsidR="0027144F" w:rsidRPr="00673779">
        <w:t xml:space="preserve">, </w:t>
      </w:r>
      <w:r w:rsidRPr="00673779">
        <w:t>November</w:t>
      </w:r>
      <w:r w:rsidR="0027144F" w:rsidRPr="00673779">
        <w:t xml:space="preserve"> </w:t>
      </w:r>
      <w:r w:rsidRPr="00673779">
        <w:t>11</w:t>
      </w:r>
      <w:r w:rsidR="001D53E7" w:rsidRPr="00673779">
        <w:rPr>
          <w:vertAlign w:val="superscript"/>
        </w:rPr>
        <w:t>th</w:t>
      </w:r>
      <w:r w:rsidR="001D53E7" w:rsidRPr="00673779">
        <w:t xml:space="preserve"> – </w:t>
      </w:r>
      <w:r w:rsidRPr="00673779">
        <w:t>19</w:t>
      </w:r>
      <w:r w:rsidR="001D53E7" w:rsidRPr="00673779">
        <w:rPr>
          <w:vertAlign w:val="superscript"/>
        </w:rPr>
        <w:t>th</w:t>
      </w:r>
      <w:r w:rsidRPr="00673779">
        <w:t xml:space="preserve"> </w:t>
      </w:r>
      <w:r w:rsidR="0027144F" w:rsidRPr="00673779">
        <w:t>20</w:t>
      </w:r>
      <w:r w:rsidRPr="00673779">
        <w:t>21</w:t>
      </w:r>
    </w:p>
    <w:p w14:paraId="74F73C2E" w14:textId="77777777" w:rsidR="00E90E49" w:rsidRPr="00CE0424" w:rsidRDefault="00E90E49" w:rsidP="00357380">
      <w:pPr>
        <w:pStyle w:val="3GPPHeader"/>
      </w:pPr>
    </w:p>
    <w:p w14:paraId="4BCCAB12" w14:textId="15F361DE" w:rsidR="00E90E49" w:rsidRPr="00673779" w:rsidRDefault="00E90E49" w:rsidP="00311702">
      <w:pPr>
        <w:pStyle w:val="3GPPHeader"/>
        <w:rPr>
          <w:sz w:val="22"/>
        </w:rPr>
      </w:pPr>
      <w:r w:rsidRPr="00673779">
        <w:rPr>
          <w:sz w:val="22"/>
        </w:rPr>
        <w:t>Agenda Item:</w:t>
      </w:r>
      <w:r w:rsidRPr="00673779">
        <w:rPr>
          <w:sz w:val="22"/>
        </w:rPr>
        <w:tab/>
      </w:r>
      <w:r w:rsidR="00673779" w:rsidRPr="00673779">
        <w:rPr>
          <w:sz w:val="22"/>
        </w:rPr>
        <w:t>8.10.3</w:t>
      </w:r>
    </w:p>
    <w:p w14:paraId="05CB9CD9"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6F4CD2FF" w14:textId="745A54CA" w:rsidR="00E90E49" w:rsidRPr="00CE0424" w:rsidRDefault="003D3C45" w:rsidP="00311702">
      <w:pPr>
        <w:pStyle w:val="3GPPHeader"/>
        <w:rPr>
          <w:sz w:val="22"/>
        </w:rPr>
      </w:pPr>
      <w:r>
        <w:rPr>
          <w:sz w:val="22"/>
        </w:rPr>
        <w:t>Title:</w:t>
      </w:r>
      <w:r w:rsidR="00E90E49" w:rsidRPr="00CE0424">
        <w:rPr>
          <w:sz w:val="22"/>
        </w:rPr>
        <w:tab/>
      </w:r>
      <w:r w:rsidR="00673779" w:rsidRPr="00673779">
        <w:rPr>
          <w:sz w:val="22"/>
        </w:rPr>
        <w:t xml:space="preserve">Prioritization of remaining work in </w:t>
      </w:r>
      <w:proofErr w:type="spellStart"/>
      <w:r w:rsidR="00673779" w:rsidRPr="00673779">
        <w:rPr>
          <w:sz w:val="22"/>
        </w:rPr>
        <w:t>eIAB</w:t>
      </w:r>
      <w:proofErr w:type="spellEnd"/>
    </w:p>
    <w:p w14:paraId="71477A3E" w14:textId="77777777" w:rsidR="00E90E49" w:rsidRPr="00CE0424" w:rsidRDefault="00E90E49" w:rsidP="00D546FF">
      <w:pPr>
        <w:pStyle w:val="3GPPHeader"/>
        <w:rPr>
          <w:sz w:val="22"/>
        </w:rPr>
      </w:pPr>
      <w:r w:rsidRPr="00CE0424">
        <w:rPr>
          <w:sz w:val="22"/>
        </w:rPr>
        <w:t>Document for:</w:t>
      </w:r>
      <w:r w:rsidRPr="00CE0424">
        <w:rPr>
          <w:sz w:val="22"/>
        </w:rPr>
        <w:tab/>
      </w:r>
      <w:r w:rsidRPr="00673779">
        <w:rPr>
          <w:sz w:val="22"/>
        </w:rPr>
        <w:t>Discussion, Decision</w:t>
      </w:r>
    </w:p>
    <w:p w14:paraId="5E29953B" w14:textId="77777777" w:rsidR="00E90E49" w:rsidRPr="00CE0424" w:rsidRDefault="00E90E49" w:rsidP="00E90E49"/>
    <w:p w14:paraId="7C4EEA3F" w14:textId="77777777" w:rsidR="00E90E49" w:rsidRPr="00CE0424" w:rsidRDefault="00E90E49" w:rsidP="00D66AD1">
      <w:pPr>
        <w:pStyle w:val="Heading1"/>
      </w:pPr>
      <w:r w:rsidRPr="00CE0424">
        <w:t>Introduction</w:t>
      </w:r>
    </w:p>
    <w:p w14:paraId="7A7D6FB7" w14:textId="5E6F5DA3" w:rsidR="00477768" w:rsidRDefault="0048605B" w:rsidP="00CE0424">
      <w:pPr>
        <w:pStyle w:val="BodyText"/>
      </w:pPr>
      <w:r>
        <w:t>The WID for enhanced IAB states the following regarding specification work in RAN1</w:t>
      </w:r>
      <w:r w:rsidR="00421EC5">
        <w:t xml:space="preserve"> </w:t>
      </w:r>
      <w:r w:rsidR="00421EC5">
        <w:fldChar w:fldCharType="begin"/>
      </w:r>
      <w:r w:rsidR="00421EC5">
        <w:instrText xml:space="preserve"> REF _Ref86862957 \r \h </w:instrText>
      </w:r>
      <w:r w:rsidR="00421EC5">
        <w:fldChar w:fldCharType="separate"/>
      </w:r>
      <w:r w:rsidR="00BE1617">
        <w:t>[1]</w:t>
      </w:r>
      <w:r w:rsidR="00421EC5">
        <w:fldChar w:fldCharType="end"/>
      </w:r>
      <w:r>
        <w:t>:</w:t>
      </w:r>
    </w:p>
    <w:tbl>
      <w:tblPr>
        <w:tblStyle w:val="TableGrid"/>
        <w:tblW w:w="0" w:type="auto"/>
        <w:tblLook w:val="04A0" w:firstRow="1" w:lastRow="0" w:firstColumn="1" w:lastColumn="0" w:noHBand="0" w:noVBand="1"/>
      </w:tblPr>
      <w:tblGrid>
        <w:gridCol w:w="9629"/>
      </w:tblGrid>
      <w:tr w:rsidR="0048605B" w14:paraId="14CB4DCE" w14:textId="77777777" w:rsidTr="0048605B">
        <w:tc>
          <w:tcPr>
            <w:tcW w:w="9629" w:type="dxa"/>
          </w:tcPr>
          <w:p w14:paraId="5674A4F0" w14:textId="77777777" w:rsidR="0048605B" w:rsidRPr="0048605B" w:rsidRDefault="0048605B" w:rsidP="0048605B">
            <w:pPr>
              <w:spacing w:after="120"/>
              <w:rPr>
                <w:sz w:val="20"/>
                <w:lang w:eastAsia="zh-CN"/>
              </w:rPr>
            </w:pPr>
            <w:r w:rsidRPr="0048605B">
              <w:rPr>
                <w:sz w:val="20"/>
                <w:lang w:eastAsia="zh-CN"/>
              </w:rPr>
              <w:t>Duplexing enhancements [RAN1-led, RAN2, RAN3, RAN4]:</w:t>
            </w:r>
          </w:p>
          <w:p w14:paraId="53E86181" w14:textId="77777777" w:rsidR="0048605B" w:rsidRPr="0048605B" w:rsidRDefault="0048605B" w:rsidP="0048605B">
            <w:pPr>
              <w:pStyle w:val="ListParagraph"/>
              <w:numPr>
                <w:ilvl w:val="0"/>
                <w:numId w:val="24"/>
              </w:numPr>
              <w:spacing w:after="180" w:line="240" w:lineRule="auto"/>
              <w:rPr>
                <w:rFonts w:ascii="Arial" w:eastAsiaTheme="minorHAnsi" w:hAnsi="Arial"/>
                <w:sz w:val="20"/>
                <w:lang w:val="en-US" w:eastAsia="zh-CN"/>
              </w:rPr>
            </w:pPr>
            <w:r w:rsidRPr="0048605B">
              <w:rPr>
                <w:rFonts w:ascii="Arial" w:eastAsiaTheme="minorHAnsi" w:hAnsi="Arial"/>
                <w:sz w:val="20"/>
                <w:lang w:val="en-US" w:eastAsia="zh-CN"/>
              </w:rPr>
              <w:t>Specification of enhancements to the resource multiplexing between child and parent links of an IAB node, including:</w:t>
            </w:r>
          </w:p>
          <w:p w14:paraId="14F1754C" w14:textId="77777777" w:rsidR="0048605B" w:rsidRPr="0048605B" w:rsidRDefault="0048605B" w:rsidP="0048605B">
            <w:pPr>
              <w:pStyle w:val="ListParagraph"/>
              <w:numPr>
                <w:ilvl w:val="1"/>
                <w:numId w:val="24"/>
              </w:numPr>
              <w:spacing w:after="180" w:line="240" w:lineRule="auto"/>
              <w:rPr>
                <w:rFonts w:ascii="Arial" w:eastAsiaTheme="minorHAnsi" w:hAnsi="Arial"/>
                <w:sz w:val="20"/>
                <w:lang w:val="en-US" w:eastAsia="zh-CN"/>
              </w:rPr>
            </w:pPr>
            <w:bookmarkStart w:id="0" w:name="_Hlk26193173"/>
            <w:r w:rsidRPr="0048605B">
              <w:rPr>
                <w:rFonts w:ascii="Arial" w:eastAsiaTheme="minorHAnsi" w:hAnsi="Arial"/>
                <w:sz w:val="20"/>
                <w:lang w:val="en-US" w:eastAsia="zh-CN"/>
              </w:rPr>
              <w:t>Support of simultaneous operation (transmission and/or reception) of IAB-node’s child and parent links (i.e., MT Tx/DU Tx, MT Tx/DU Rx, MT Rx/DU Tx, MT Rx/DU Rx).</w:t>
            </w:r>
          </w:p>
          <w:p w14:paraId="0E2D9983" w14:textId="77777777" w:rsidR="0048605B" w:rsidRPr="0048605B" w:rsidRDefault="0048605B" w:rsidP="0048605B">
            <w:pPr>
              <w:pStyle w:val="ListParagraph"/>
              <w:numPr>
                <w:ilvl w:val="1"/>
                <w:numId w:val="24"/>
              </w:numPr>
              <w:spacing w:after="180" w:line="240" w:lineRule="auto"/>
              <w:rPr>
                <w:rFonts w:ascii="Arial" w:eastAsiaTheme="minorHAnsi" w:hAnsi="Arial"/>
                <w:sz w:val="20"/>
                <w:lang w:val="en-US" w:eastAsia="zh-CN"/>
              </w:rPr>
            </w:pPr>
            <w:r w:rsidRPr="0048605B">
              <w:rPr>
                <w:rFonts w:ascii="Arial" w:eastAsiaTheme="minorHAnsi" w:hAnsi="Arial"/>
                <w:sz w:val="20"/>
                <w:lang w:val="en-US" w:eastAsia="zh-CN"/>
              </w:rPr>
              <w:t>Support for dual-connectivity scenarios defined by RAN2/RAN3 in the context of topology redundancy for improved robustness and load balancing.</w:t>
            </w:r>
          </w:p>
          <w:bookmarkEnd w:id="0"/>
          <w:p w14:paraId="0D79CD72" w14:textId="43526778" w:rsidR="0048605B" w:rsidRPr="0048605B" w:rsidRDefault="0048605B" w:rsidP="00CE0424">
            <w:pPr>
              <w:pStyle w:val="ListParagraph"/>
              <w:numPr>
                <w:ilvl w:val="0"/>
                <w:numId w:val="24"/>
              </w:numPr>
              <w:spacing w:after="180" w:line="240" w:lineRule="auto"/>
              <w:rPr>
                <w:rFonts w:ascii="Arial" w:eastAsiaTheme="minorHAnsi" w:hAnsi="Arial"/>
                <w:sz w:val="20"/>
                <w:lang w:val="en-US" w:eastAsia="zh-CN"/>
              </w:rPr>
            </w:pPr>
            <w:r w:rsidRPr="0048605B">
              <w:rPr>
                <w:rFonts w:ascii="Arial" w:eastAsiaTheme="minorHAnsi" w:hAnsi="Arial"/>
                <w:sz w:val="20"/>
                <w:lang w:val="en-US" w:eastAsia="zh-CN"/>
              </w:rPr>
              <w:t>Specification of IAB-node timing mode(s), extensions for DL/UL power control, and CLI and interference measurements of BH links, as needed, to support simultaneous operation (transmission and/or reception) by IAB-node’s child and parent links.</w:t>
            </w:r>
          </w:p>
        </w:tc>
      </w:tr>
    </w:tbl>
    <w:p w14:paraId="0A6F17F9" w14:textId="6CA9F992" w:rsidR="0048605B" w:rsidRPr="00CE0424" w:rsidRDefault="0048605B" w:rsidP="005541CC">
      <w:pPr>
        <w:pStyle w:val="BodyText"/>
        <w:spacing w:before="240"/>
      </w:pPr>
      <w:r>
        <w:t xml:space="preserve">With respect to the above, below we present our views about what should be prioritized in the last meeting </w:t>
      </w:r>
      <w:proofErr w:type="gramStart"/>
      <w:r>
        <w:t>in order to</w:t>
      </w:r>
      <w:proofErr w:type="gramEnd"/>
      <w:r>
        <w:t xml:space="preserve"> </w:t>
      </w:r>
      <w:r w:rsidR="005541CC">
        <w:t>be as successful as possible with the above objectives.</w:t>
      </w:r>
    </w:p>
    <w:p w14:paraId="3933B0FF" w14:textId="77777777" w:rsidR="004000E8" w:rsidRPr="00CE0424" w:rsidRDefault="004000E8" w:rsidP="00CE0424">
      <w:pPr>
        <w:pStyle w:val="Heading1"/>
      </w:pPr>
      <w:bookmarkStart w:id="1" w:name="_Ref178064866"/>
      <w:r w:rsidRPr="00CE0424">
        <w:t>Discussion</w:t>
      </w:r>
      <w:bookmarkEnd w:id="1"/>
    </w:p>
    <w:p w14:paraId="74A50D93" w14:textId="3F0ED7AF" w:rsidR="0027144F" w:rsidRDefault="00535CF3" w:rsidP="00CE0424">
      <w:pPr>
        <w:pStyle w:val="BodyText"/>
      </w:pPr>
      <w:r>
        <w:t xml:space="preserve">Only one meeting remains in Rel-17 and it is time to put the missing pieces of the specification in place </w:t>
      </w:r>
      <w:proofErr w:type="gramStart"/>
      <w:r>
        <w:t>in order to</w:t>
      </w:r>
      <w:proofErr w:type="gramEnd"/>
      <w:r>
        <w:t xml:space="preserve"> have a fully working specification. In this respect, we think it is important that we focus on the right, necessary open items, since we </w:t>
      </w:r>
      <w:r w:rsidR="00EC710B">
        <w:t xml:space="preserve">are unlikely </w:t>
      </w:r>
      <w:r>
        <w:t>to agree on all open items.</w:t>
      </w:r>
    </w:p>
    <w:p w14:paraId="37751D68" w14:textId="6FA94F41" w:rsidR="005F1B8E" w:rsidRDefault="005F1B8E" w:rsidP="00CE0424">
      <w:pPr>
        <w:pStyle w:val="BodyText"/>
      </w:pPr>
      <w:r>
        <w:t>Considering the WI, it essentially consists of and has been specified in five subareas:</w:t>
      </w:r>
    </w:p>
    <w:p w14:paraId="4D527623" w14:textId="66075471" w:rsidR="005F1B8E" w:rsidRDefault="005F1B8E" w:rsidP="00E65917">
      <w:pPr>
        <w:pStyle w:val="BodyText"/>
        <w:numPr>
          <w:ilvl w:val="0"/>
          <w:numId w:val="25"/>
        </w:numPr>
      </w:pPr>
      <w:r>
        <w:t>Resource multiplexing</w:t>
      </w:r>
    </w:p>
    <w:p w14:paraId="423F6132" w14:textId="63668B3E" w:rsidR="005F1B8E" w:rsidRDefault="005F1B8E" w:rsidP="00E65917">
      <w:pPr>
        <w:pStyle w:val="BodyText"/>
        <w:numPr>
          <w:ilvl w:val="0"/>
          <w:numId w:val="25"/>
        </w:numPr>
      </w:pPr>
      <w:r>
        <w:t>Dual connectivity</w:t>
      </w:r>
    </w:p>
    <w:p w14:paraId="6FF8ACCD" w14:textId="48F66358" w:rsidR="005F1B8E" w:rsidRDefault="005F1B8E" w:rsidP="00E65917">
      <w:pPr>
        <w:pStyle w:val="BodyText"/>
        <w:numPr>
          <w:ilvl w:val="0"/>
          <w:numId w:val="25"/>
        </w:numPr>
      </w:pPr>
      <w:r>
        <w:t>Timing</w:t>
      </w:r>
    </w:p>
    <w:p w14:paraId="2F4E1471" w14:textId="11C2872A" w:rsidR="005F1B8E" w:rsidRDefault="005F1B8E" w:rsidP="00E65917">
      <w:pPr>
        <w:pStyle w:val="BodyText"/>
        <w:numPr>
          <w:ilvl w:val="0"/>
          <w:numId w:val="25"/>
        </w:numPr>
      </w:pPr>
      <w:r>
        <w:t>Interference management</w:t>
      </w:r>
    </w:p>
    <w:p w14:paraId="6EC80456" w14:textId="252AA771" w:rsidR="005F1B8E" w:rsidRDefault="005F1B8E" w:rsidP="00E65917">
      <w:pPr>
        <w:pStyle w:val="BodyText"/>
        <w:numPr>
          <w:ilvl w:val="0"/>
          <w:numId w:val="25"/>
        </w:numPr>
      </w:pPr>
      <w:r>
        <w:t>Power control</w:t>
      </w:r>
    </w:p>
    <w:p w14:paraId="7066594A" w14:textId="14F4453F" w:rsidR="005F1B8E" w:rsidRDefault="00E65917" w:rsidP="00CE0424">
      <w:pPr>
        <w:pStyle w:val="BodyText"/>
      </w:pPr>
      <w:r>
        <w:t>With respect to the above sub</w:t>
      </w:r>
      <w:r w:rsidR="00396567">
        <w:t>-</w:t>
      </w:r>
      <w:r>
        <w:t>areas, both dual connectivity and interference management are, if not completely, then almost finalized.</w:t>
      </w:r>
      <w:r w:rsidR="00F30472">
        <w:t xml:space="preserve"> Within the remaining three, we see a risk that RAN1 has made some </w:t>
      </w:r>
      <w:r w:rsidR="00F30472">
        <w:lastRenderedPageBreak/>
        <w:t>specification choices that will complicate further work, which, considering only one meeting is left,</w:t>
      </w:r>
      <w:r w:rsidR="00247818">
        <w:t xml:space="preserve"> may</w:t>
      </w:r>
      <w:r w:rsidR="00F30472">
        <w:t xml:space="preserve"> put the whole subarea at risk.</w:t>
      </w:r>
    </w:p>
    <w:p w14:paraId="48BA3E20" w14:textId="6182DCFE" w:rsidR="00247818" w:rsidRPr="00CE0424" w:rsidRDefault="00247818" w:rsidP="00CE0424">
      <w:pPr>
        <w:pStyle w:val="BodyText"/>
      </w:pPr>
      <w:r>
        <w:t xml:space="preserve">Among the remaining subareas we also consider the different importance of them. Resource multiplexing and timing are absolute requirements for a functioning </w:t>
      </w:r>
      <w:proofErr w:type="spellStart"/>
      <w:r>
        <w:t>eIAB</w:t>
      </w:r>
      <w:proofErr w:type="spellEnd"/>
      <w:r>
        <w:t xml:space="preserve"> specification whereas power control is not.</w:t>
      </w:r>
      <w:r w:rsidR="00DB2523">
        <w:t xml:space="preserve"> This becomes even more important when the specified power control functionalities are heading in a direction of relatively high complexity, much more so than power control for mobile UEs, which, to us is a bit contradictory</w:t>
      </w:r>
      <w:r w:rsidR="004D7067">
        <w:t>, considering Rel-17 IAB nodes are stationary nodes</w:t>
      </w:r>
      <w:r w:rsidR="00DB2523">
        <w:t>.</w:t>
      </w:r>
      <w:r w:rsidR="004D7067">
        <w:t xml:space="preserve"> The high complexity translates into a likely large specification effort to finalize the specification. That should not be the case at this time for a functionality that is not a </w:t>
      </w:r>
      <w:r w:rsidR="004D7067" w:rsidRPr="004D7067">
        <w:rPr>
          <w:i/>
          <w:iCs/>
        </w:rPr>
        <w:t>must have</w:t>
      </w:r>
      <w:r w:rsidR="004D7067">
        <w:t xml:space="preserve">, but more a </w:t>
      </w:r>
      <w:r w:rsidR="004D7067" w:rsidRPr="004D7067">
        <w:rPr>
          <w:i/>
          <w:iCs/>
        </w:rPr>
        <w:t>nice to have</w:t>
      </w:r>
      <w:r w:rsidR="004D7067">
        <w:t>.</w:t>
      </w:r>
      <w:r w:rsidR="0019294E">
        <w:t xml:space="preserve"> An alternative is of course to fall back to simpler solutions, requiring a specification effort that is realistic under current circumstances.</w:t>
      </w:r>
    </w:p>
    <w:p w14:paraId="5C7C7C70" w14:textId="7638935C" w:rsidR="0019294E" w:rsidRDefault="0019294E" w:rsidP="00673779">
      <w:pPr>
        <w:pStyle w:val="Observation"/>
      </w:pPr>
      <w:bookmarkStart w:id="2" w:name="_Ref190406817"/>
      <w:bookmarkStart w:id="3" w:name="_Toc226862296"/>
      <w:bookmarkStart w:id="4" w:name="_Toc347823621"/>
      <w:bookmarkStart w:id="5" w:name="_Toc347824073"/>
      <w:bookmarkStart w:id="6" w:name="_Toc347824246"/>
      <w:bookmarkStart w:id="7" w:name="_Toc87042595"/>
      <w:r>
        <w:t>Spending a large amount of time to finalize specification of power control at the expense of timing is not justified.</w:t>
      </w:r>
      <w:bookmarkEnd w:id="7"/>
    </w:p>
    <w:p w14:paraId="798CAD6B" w14:textId="7C5C09D2" w:rsidR="00106871" w:rsidRDefault="00673779" w:rsidP="001F4B1F">
      <w:pPr>
        <w:pStyle w:val="Proposal"/>
      </w:pPr>
      <w:bookmarkStart w:id="8" w:name="_Toc87042596"/>
      <w:r>
        <w:t>Prioritize timing over power control in 8.10.2.</w:t>
      </w:r>
      <w:bookmarkEnd w:id="2"/>
      <w:bookmarkEnd w:id="3"/>
      <w:bookmarkEnd w:id="4"/>
      <w:bookmarkEnd w:id="5"/>
      <w:bookmarkEnd w:id="6"/>
      <w:bookmarkEnd w:id="8"/>
    </w:p>
    <w:p w14:paraId="5C18FD69" w14:textId="06E26D6D" w:rsidR="00407630" w:rsidRDefault="00407630" w:rsidP="00A41D78">
      <w:pPr>
        <w:jc w:val="both"/>
      </w:pPr>
      <w:r w:rsidRPr="00407630">
        <w:t xml:space="preserve">Also within </w:t>
      </w:r>
      <w:r>
        <w:t>AI 8.10.1 there are prioritizations to be made.</w:t>
      </w:r>
      <w:r w:rsidR="00A41D78">
        <w:t xml:space="preserve"> </w:t>
      </w:r>
      <w:r w:rsidR="00B8168B">
        <w:t>Most importantly is, in our view, to define</w:t>
      </w:r>
      <w:r w:rsidR="00913D6B">
        <w:t xml:space="preserve"> the </w:t>
      </w:r>
      <w:proofErr w:type="gramStart"/>
      <w:r w:rsidR="00913D6B">
        <w:t xml:space="preserve">behavior </w:t>
      </w:r>
      <w:r w:rsidR="00B8168B">
        <w:t xml:space="preserve"> </w:t>
      </w:r>
      <w:r w:rsidR="00913D6B">
        <w:t>in</w:t>
      </w:r>
      <w:proofErr w:type="gramEnd"/>
      <w:r w:rsidR="00913D6B">
        <w:t xml:space="preserve"> </w:t>
      </w:r>
      <w:r w:rsidR="00B8168B">
        <w:t xml:space="preserve">Hard, Soft and Not Available modes in FDM, since the current TDM definitions are </w:t>
      </w:r>
      <w:r w:rsidR="0047181F">
        <w:t xml:space="preserve">defined per symbol and hence </w:t>
      </w:r>
      <w:r w:rsidR="00396567">
        <w:t xml:space="preserve">are </w:t>
      </w:r>
      <w:r w:rsidR="00B8168B">
        <w:t xml:space="preserve">not applicable. </w:t>
      </w:r>
      <w:r w:rsidR="00A41D78">
        <w:t xml:space="preserve">There are </w:t>
      </w:r>
      <w:r w:rsidR="00B8168B">
        <w:t xml:space="preserve">furthermore </w:t>
      </w:r>
      <w:r w:rsidR="00A41D78">
        <w:t>outstanding details on</w:t>
      </w:r>
      <w:r w:rsidR="006744A0">
        <w:t xml:space="preserve"> </w:t>
      </w:r>
      <w:r w:rsidR="00A41D78">
        <w:t>th</w:t>
      </w:r>
      <w:r w:rsidR="006744A0">
        <w:t>e</w:t>
      </w:r>
      <w:r w:rsidR="00A41D78">
        <w:t xml:space="preserve"> FDM </w:t>
      </w:r>
      <w:r w:rsidR="00B8168B">
        <w:t xml:space="preserve">and SDM </w:t>
      </w:r>
      <w:r w:rsidR="00A41D78">
        <w:t>configuration</w:t>
      </w:r>
      <w:r w:rsidR="00B8168B">
        <w:t>s</w:t>
      </w:r>
      <w:r w:rsidR="00A41D78">
        <w:t xml:space="preserve"> that </w:t>
      </w:r>
      <w:r w:rsidR="00B8168B">
        <w:t xml:space="preserve">are necessary for proper functionality of resource </w:t>
      </w:r>
      <w:r w:rsidR="00B8168B" w:rsidRPr="007A6D1B">
        <w:t>multiplexing</w:t>
      </w:r>
      <w:r w:rsidR="00360ED2" w:rsidRPr="007A6D1B">
        <w:t>, e.g</w:t>
      </w:r>
      <w:r w:rsidR="00A41D78" w:rsidRPr="007A6D1B">
        <w:t xml:space="preserve">., </w:t>
      </w:r>
      <w:r w:rsidR="00E10FB3" w:rsidRPr="007A6D1B">
        <w:t xml:space="preserve">RB set </w:t>
      </w:r>
      <w:r w:rsidR="002D30E4" w:rsidRPr="007A6D1B">
        <w:t>size</w:t>
      </w:r>
      <w:r w:rsidR="00A41D78" w:rsidRPr="007A6D1B">
        <w:t>.</w:t>
      </w:r>
      <w:r w:rsidR="00A41D78">
        <w:t xml:space="preserve"> </w:t>
      </w:r>
      <w:r w:rsidR="002D30E4">
        <w:t>Closely r</w:t>
      </w:r>
      <w:r w:rsidR="00A41D78">
        <w:t>elated to th</w:t>
      </w:r>
      <w:r w:rsidR="002D30E4">
        <w:t>ese items</w:t>
      </w:r>
      <w:r w:rsidR="00A41D78">
        <w:t xml:space="preserve"> is details in DCI format 2_5 for dynamic indication of Soft resources</w:t>
      </w:r>
      <w:r w:rsidR="002D6128">
        <w:t xml:space="preserve"> and multiplexing capability/ability signaling</w:t>
      </w:r>
      <w:r w:rsidR="00A41D78">
        <w:t>.</w:t>
      </w:r>
      <w:r w:rsidR="002C5269">
        <w:t xml:space="preserve"> Additionally, resolution of conditions for enabling simultaneous operation related to multiplexing capability and ability are needed</w:t>
      </w:r>
      <w:r w:rsidR="003E06C5">
        <w:t xml:space="preserve"> as well as guard symbols for timing state transitions</w:t>
      </w:r>
      <w:r w:rsidR="002C5269">
        <w:t>.</w:t>
      </w:r>
      <w:r w:rsidR="006744A0">
        <w:t xml:space="preserve"> </w:t>
      </w:r>
      <w:r w:rsidR="00427541">
        <w:t xml:space="preserve">For SDM, details related to beam indication remains. </w:t>
      </w:r>
      <w:r w:rsidR="006744A0">
        <w:t xml:space="preserve">These are all </w:t>
      </w:r>
      <w:r w:rsidR="006744A0" w:rsidRPr="00634E4A">
        <w:rPr>
          <w:i/>
          <w:iCs/>
        </w:rPr>
        <w:t>must haves</w:t>
      </w:r>
      <w:r w:rsidR="006744A0">
        <w:t xml:space="preserve"> and should be prioritized</w:t>
      </w:r>
      <w:r w:rsidR="001F4B1F">
        <w:t xml:space="preserve">. Examples on lower prioritized </w:t>
      </w:r>
      <w:r w:rsidR="00634E4A" w:rsidRPr="00634E4A">
        <w:rPr>
          <w:i/>
          <w:iCs/>
        </w:rPr>
        <w:t>nice to haves</w:t>
      </w:r>
      <w:r w:rsidR="001F4B1F">
        <w:t>, we think, are specifying</w:t>
      </w:r>
      <w:r w:rsidR="006744A0">
        <w:t xml:space="preserve"> </w:t>
      </w:r>
      <w:r w:rsidR="002D6128">
        <w:t xml:space="preserve">FDM </w:t>
      </w:r>
      <w:r w:rsidR="006744A0">
        <w:t xml:space="preserve">guard </w:t>
      </w:r>
      <w:r w:rsidR="002D6128">
        <w:t>bands</w:t>
      </w:r>
      <w:r w:rsidR="00F42998">
        <w:t>,</w:t>
      </w:r>
      <w:r w:rsidR="006744A0">
        <w:t xml:space="preserve"> </w:t>
      </w:r>
      <w:r w:rsidR="002D6128">
        <w:t>since these are better suited for implementation</w:t>
      </w:r>
      <w:r w:rsidR="00F42998">
        <w:t>, or beam indication for multiple MT’s CC vs DU cells</w:t>
      </w:r>
      <w:r w:rsidR="002D6128">
        <w:t>.</w:t>
      </w:r>
    </w:p>
    <w:p w14:paraId="6C76E727" w14:textId="77777777" w:rsidR="003E06C5" w:rsidRDefault="001F4B1F" w:rsidP="001F4B1F">
      <w:pPr>
        <w:pStyle w:val="Proposal"/>
      </w:pPr>
      <w:bookmarkStart w:id="9" w:name="_Toc87042597"/>
      <w:r>
        <w:t xml:space="preserve">Prioritize </w:t>
      </w:r>
      <w:r w:rsidR="003E06C5">
        <w:t>the following within AI 8.10.1:</w:t>
      </w:r>
      <w:bookmarkEnd w:id="9"/>
    </w:p>
    <w:p w14:paraId="0121888B" w14:textId="463EDA11" w:rsidR="003E06C5" w:rsidRDefault="00427541" w:rsidP="003E06C5">
      <w:pPr>
        <w:pStyle w:val="Proposal"/>
        <w:numPr>
          <w:ilvl w:val="1"/>
          <w:numId w:val="3"/>
        </w:numPr>
      </w:pPr>
      <w:bookmarkStart w:id="10" w:name="_Toc87042598"/>
      <w:r>
        <w:t>FDM behavior for Hard, Soft and Not Available</w:t>
      </w:r>
      <w:r w:rsidR="008D4AF3">
        <w:t>,</w:t>
      </w:r>
      <w:bookmarkEnd w:id="10"/>
      <w:r w:rsidR="008D4AF3">
        <w:t xml:space="preserve"> </w:t>
      </w:r>
    </w:p>
    <w:p w14:paraId="4A774B9C" w14:textId="676A9459" w:rsidR="003E06C5" w:rsidRDefault="001F4B1F" w:rsidP="003E06C5">
      <w:pPr>
        <w:pStyle w:val="Proposal"/>
        <w:numPr>
          <w:ilvl w:val="1"/>
          <w:numId w:val="3"/>
        </w:numPr>
      </w:pPr>
      <w:bookmarkStart w:id="11" w:name="_Toc87042599"/>
      <w:r>
        <w:t>FDM and SDM configuration</w:t>
      </w:r>
      <w:r w:rsidR="003E06C5">
        <w:t xml:space="preserve"> details</w:t>
      </w:r>
      <w:r w:rsidR="00363B59">
        <w:t>,</w:t>
      </w:r>
      <w:bookmarkEnd w:id="11"/>
    </w:p>
    <w:p w14:paraId="5FBAB6A4" w14:textId="78CBD791" w:rsidR="001F4B1F" w:rsidRDefault="001F4B1F" w:rsidP="003E06C5">
      <w:pPr>
        <w:pStyle w:val="Proposal"/>
        <w:numPr>
          <w:ilvl w:val="1"/>
          <w:numId w:val="3"/>
        </w:numPr>
      </w:pPr>
      <w:bookmarkStart w:id="12" w:name="_Toc87042600"/>
      <w:r>
        <w:t>DCI format 2_5</w:t>
      </w:r>
      <w:r w:rsidR="00363B59">
        <w:t>,</w:t>
      </w:r>
      <w:bookmarkEnd w:id="12"/>
    </w:p>
    <w:p w14:paraId="3F19D521" w14:textId="0BF886D2" w:rsidR="00363B59" w:rsidRDefault="00363B59" w:rsidP="003E06C5">
      <w:pPr>
        <w:pStyle w:val="Proposal"/>
        <w:numPr>
          <w:ilvl w:val="1"/>
          <w:numId w:val="3"/>
        </w:numPr>
      </w:pPr>
      <w:bookmarkStart w:id="13" w:name="_Toc87042601"/>
      <w:r>
        <w:t>SDM beam indication details,</w:t>
      </w:r>
      <w:bookmarkEnd w:id="13"/>
    </w:p>
    <w:p w14:paraId="5F6B2184" w14:textId="6912D3A5" w:rsidR="00363B59" w:rsidRDefault="00363B59" w:rsidP="003E06C5">
      <w:pPr>
        <w:pStyle w:val="Proposal"/>
        <w:numPr>
          <w:ilvl w:val="1"/>
          <w:numId w:val="3"/>
        </w:numPr>
      </w:pPr>
      <w:bookmarkStart w:id="14" w:name="_Toc87042602"/>
      <w:r>
        <w:t>Signaling of multiplexing conditions, including capabilities and abilities, and</w:t>
      </w:r>
      <w:bookmarkEnd w:id="14"/>
    </w:p>
    <w:p w14:paraId="124E45DF" w14:textId="191D30D6" w:rsidR="00363B59" w:rsidRPr="00407630" w:rsidRDefault="00363B59" w:rsidP="003E06C5">
      <w:pPr>
        <w:pStyle w:val="Proposal"/>
        <w:numPr>
          <w:ilvl w:val="1"/>
          <w:numId w:val="3"/>
        </w:numPr>
      </w:pPr>
      <w:bookmarkStart w:id="15" w:name="_Toc87042603"/>
      <w:r>
        <w:t>Guard symbols for timing state transitions.</w:t>
      </w:r>
      <w:bookmarkEnd w:id="15"/>
    </w:p>
    <w:p w14:paraId="71710A6D" w14:textId="7C59E957" w:rsidR="00BF18F5" w:rsidRPr="00D02057" w:rsidRDefault="00BF18F5" w:rsidP="00BF18F5">
      <w:pPr>
        <w:jc w:val="both"/>
      </w:pPr>
      <w:r>
        <w:t>At this point it is also worth considering dual connectivity in relation to the other objectives</w:t>
      </w:r>
      <w:r w:rsidR="006744A0">
        <w:t xml:space="preserve"> in the WID</w:t>
      </w:r>
      <w:r>
        <w:t>. So far it has not been discussed whether dual connectivity should be combined with the simultaneous operation with all its different flavors in timing, interference management and power control. Starting such work now is not advisable and we propose to down prioritize simultaneous operation in dual connectivity scenarios.</w:t>
      </w:r>
    </w:p>
    <w:p w14:paraId="18A9FDCC" w14:textId="689679A2" w:rsidR="00BF18F5" w:rsidRDefault="00311693" w:rsidP="00BF18F5">
      <w:pPr>
        <w:pStyle w:val="Proposal"/>
      </w:pPr>
      <w:bookmarkStart w:id="16" w:name="_Toc87042604"/>
      <w:r>
        <w:t>Down prioritize scenarios including both s</w:t>
      </w:r>
      <w:r w:rsidR="00BF18F5">
        <w:t xml:space="preserve">imultaneous operations </w:t>
      </w:r>
      <w:r>
        <w:t>and dual connectivity</w:t>
      </w:r>
      <w:r w:rsidR="00BF18F5">
        <w:t>.</w:t>
      </w:r>
      <w:bookmarkEnd w:id="16"/>
    </w:p>
    <w:p w14:paraId="688ECE81" w14:textId="77777777" w:rsidR="00C473A5" w:rsidRPr="00311693" w:rsidRDefault="00C473A5" w:rsidP="00882A69">
      <w:pPr>
        <w:pStyle w:val="Heading1"/>
        <w:numPr>
          <w:ilvl w:val="0"/>
          <w:numId w:val="0"/>
        </w:numPr>
        <w:rPr>
          <w:lang w:val="en-US"/>
        </w:rPr>
        <w:sectPr w:rsidR="00C473A5" w:rsidRPr="00311693" w:rsidSect="00D66AD1">
          <w:headerReference w:type="even" r:id="rId8"/>
          <w:footerReference w:type="default" r:id="rId9"/>
          <w:footnotePr>
            <w:numRestart w:val="eachSect"/>
          </w:footnotePr>
          <w:pgSz w:w="11907" w:h="16840" w:code="9"/>
          <w:pgMar w:top="1418" w:right="1134" w:bottom="1134" w:left="1134" w:header="680" w:footer="567" w:gutter="0"/>
          <w:cols w:space="720"/>
          <w:docGrid w:linePitch="272"/>
        </w:sectPr>
      </w:pPr>
    </w:p>
    <w:p w14:paraId="49951F87" w14:textId="77777777" w:rsidR="00C01F33" w:rsidRPr="00CE0424" w:rsidRDefault="00C01F33" w:rsidP="00CE0424">
      <w:pPr>
        <w:pStyle w:val="Heading1"/>
      </w:pPr>
      <w:r w:rsidRPr="00CE0424">
        <w:lastRenderedPageBreak/>
        <w:t>Conclusion</w:t>
      </w:r>
    </w:p>
    <w:p w14:paraId="78E750C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D13E819" w14:textId="0FC3877A" w:rsidR="00BE1617" w:rsidRDefault="006F6582" w:rsidP="00BE1617">
      <w:pPr>
        <w:pStyle w:val="TableofFigures"/>
        <w:tabs>
          <w:tab w:val="right" w:leader="dot" w:pos="9629"/>
        </w:tabs>
        <w:jc w:val="both"/>
        <w:rPr>
          <w:rFonts w:asciiTheme="minorHAnsi" w:eastAsiaTheme="minorEastAsia" w:hAnsiTheme="minorHAnsi"/>
          <w:b w:val="0"/>
          <w:noProof/>
          <w:sz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87042595" w:history="1">
        <w:r w:rsidR="00BE1617" w:rsidRPr="00A713EF">
          <w:rPr>
            <w:rStyle w:val="Hyperlink"/>
            <w:noProof/>
          </w:rPr>
          <w:t>Observation 1</w:t>
        </w:r>
        <w:r w:rsidR="00BE1617">
          <w:rPr>
            <w:rFonts w:asciiTheme="minorHAnsi" w:eastAsiaTheme="minorEastAsia" w:hAnsiTheme="minorHAnsi"/>
            <w:b w:val="0"/>
            <w:noProof/>
            <w:sz w:val="22"/>
            <w:lang w:val="sv-SE" w:eastAsia="sv-SE"/>
          </w:rPr>
          <w:tab/>
        </w:r>
        <w:r w:rsidR="00BE1617" w:rsidRPr="00A713EF">
          <w:rPr>
            <w:rStyle w:val="Hyperlink"/>
            <w:noProof/>
          </w:rPr>
          <w:t>Spending a large amount of time to finalize specification of power control at the expense of timing is not justified.</w:t>
        </w:r>
      </w:hyperlink>
    </w:p>
    <w:p w14:paraId="1ED71BC9" w14:textId="3FBBCCD7" w:rsidR="006E1C82" w:rsidRDefault="006F6582" w:rsidP="00BE1617">
      <w:pPr>
        <w:pStyle w:val="BodyText"/>
        <w:rPr>
          <w:b/>
          <w:bCs/>
        </w:rPr>
      </w:pPr>
      <w:r>
        <w:rPr>
          <w:b/>
          <w:bCs/>
        </w:rPr>
        <w:fldChar w:fldCharType="end"/>
      </w:r>
    </w:p>
    <w:p w14:paraId="3D519F9F" w14:textId="77777777" w:rsidR="006E1C82" w:rsidRDefault="006E1C82" w:rsidP="00BE1617">
      <w:pPr>
        <w:pStyle w:val="BodyText"/>
        <w:rPr>
          <w:b/>
          <w:bCs/>
        </w:rPr>
      </w:pPr>
    </w:p>
    <w:p w14:paraId="7F657A0A" w14:textId="77777777" w:rsidR="006E1C82" w:rsidRDefault="008E065E" w:rsidP="00BE1617">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5218352" w14:textId="0F096A42" w:rsidR="00BE1617" w:rsidRDefault="006E1C82" w:rsidP="00BE1617">
      <w:pPr>
        <w:pStyle w:val="TableofFigures"/>
        <w:tabs>
          <w:tab w:val="right" w:leader="dot" w:pos="9629"/>
        </w:tabs>
        <w:jc w:val="both"/>
        <w:rPr>
          <w:rFonts w:asciiTheme="minorHAnsi" w:eastAsiaTheme="minorEastAsia" w:hAnsiTheme="minorHAnsi"/>
          <w:b w:val="0"/>
          <w:noProof/>
          <w:sz w:val="22"/>
          <w:lang w:val="sv-SE" w:eastAsia="sv-SE"/>
        </w:rPr>
      </w:pPr>
      <w:r>
        <w:rPr>
          <w:b w:val="0"/>
          <w:bCs/>
        </w:rPr>
        <w:fldChar w:fldCharType="begin"/>
      </w:r>
      <w:r>
        <w:rPr>
          <w:b w:val="0"/>
          <w:bCs/>
        </w:rPr>
        <w:instrText xml:space="preserve"> TOC \n \h \z \t "Proposal" \c </w:instrText>
      </w:r>
      <w:r>
        <w:rPr>
          <w:b w:val="0"/>
          <w:bCs/>
        </w:rPr>
        <w:fldChar w:fldCharType="separate"/>
      </w:r>
      <w:hyperlink w:anchor="_Toc87042596" w:history="1">
        <w:r w:rsidR="00BE1617" w:rsidRPr="00D11CCE">
          <w:rPr>
            <w:rStyle w:val="Hyperlink"/>
            <w:noProof/>
          </w:rPr>
          <w:t>Proposal 1</w:t>
        </w:r>
        <w:r w:rsidR="00BE1617">
          <w:rPr>
            <w:rFonts w:asciiTheme="minorHAnsi" w:eastAsiaTheme="minorEastAsia" w:hAnsiTheme="minorHAnsi"/>
            <w:b w:val="0"/>
            <w:noProof/>
            <w:sz w:val="22"/>
            <w:lang w:val="sv-SE" w:eastAsia="sv-SE"/>
          </w:rPr>
          <w:tab/>
        </w:r>
        <w:r w:rsidR="00BE1617" w:rsidRPr="00D11CCE">
          <w:rPr>
            <w:rStyle w:val="Hyperlink"/>
            <w:noProof/>
          </w:rPr>
          <w:t>Prioritize timing over power control in 8.10.2.</w:t>
        </w:r>
      </w:hyperlink>
    </w:p>
    <w:p w14:paraId="31B7B562" w14:textId="26C78D45" w:rsidR="00BE1617" w:rsidRDefault="00BE1617" w:rsidP="00BE1617">
      <w:pPr>
        <w:pStyle w:val="TableofFigures"/>
        <w:tabs>
          <w:tab w:val="right" w:leader="dot" w:pos="9629"/>
        </w:tabs>
        <w:jc w:val="both"/>
        <w:rPr>
          <w:rFonts w:asciiTheme="minorHAnsi" w:eastAsiaTheme="minorEastAsia" w:hAnsiTheme="minorHAnsi"/>
          <w:b w:val="0"/>
          <w:noProof/>
          <w:sz w:val="22"/>
          <w:lang w:val="sv-SE" w:eastAsia="sv-SE"/>
        </w:rPr>
      </w:pPr>
      <w:hyperlink w:anchor="_Toc87042597" w:history="1">
        <w:r w:rsidRPr="00D11CCE">
          <w:rPr>
            <w:rStyle w:val="Hyperlink"/>
            <w:noProof/>
          </w:rPr>
          <w:t>Proposal 2</w:t>
        </w:r>
        <w:r>
          <w:rPr>
            <w:rFonts w:asciiTheme="minorHAnsi" w:eastAsiaTheme="minorEastAsia" w:hAnsiTheme="minorHAnsi"/>
            <w:b w:val="0"/>
            <w:noProof/>
            <w:sz w:val="22"/>
            <w:lang w:val="sv-SE" w:eastAsia="sv-SE"/>
          </w:rPr>
          <w:tab/>
        </w:r>
        <w:r w:rsidRPr="00D11CCE">
          <w:rPr>
            <w:rStyle w:val="Hyperlink"/>
            <w:noProof/>
          </w:rPr>
          <w:t>Prioritize the following within AI 8.10.1:</w:t>
        </w:r>
      </w:hyperlink>
    </w:p>
    <w:p w14:paraId="6FB64D36" w14:textId="5763F5ED" w:rsidR="00BE1617" w:rsidRDefault="00BE1617" w:rsidP="00BE1617">
      <w:pPr>
        <w:pStyle w:val="TableofFigures"/>
        <w:tabs>
          <w:tab w:val="right" w:leader="dot" w:pos="9629"/>
        </w:tabs>
        <w:jc w:val="both"/>
        <w:rPr>
          <w:rFonts w:asciiTheme="minorHAnsi" w:eastAsiaTheme="minorEastAsia" w:hAnsiTheme="minorHAnsi"/>
          <w:b w:val="0"/>
          <w:noProof/>
          <w:sz w:val="22"/>
          <w:lang w:val="sv-SE" w:eastAsia="sv-SE"/>
        </w:rPr>
      </w:pPr>
      <w:hyperlink w:anchor="_Toc87042598" w:history="1">
        <w:r w:rsidRPr="00D11CCE">
          <w:rPr>
            <w:rStyle w:val="Hyperlink"/>
            <w:noProof/>
          </w:rPr>
          <w:t>a.</w:t>
        </w:r>
        <w:r>
          <w:rPr>
            <w:rFonts w:asciiTheme="minorHAnsi" w:eastAsiaTheme="minorEastAsia" w:hAnsiTheme="minorHAnsi"/>
            <w:b w:val="0"/>
            <w:noProof/>
            <w:sz w:val="22"/>
            <w:lang w:val="sv-SE" w:eastAsia="sv-SE"/>
          </w:rPr>
          <w:tab/>
        </w:r>
        <w:r w:rsidRPr="00D11CCE">
          <w:rPr>
            <w:rStyle w:val="Hyperlink"/>
            <w:noProof/>
          </w:rPr>
          <w:t>FDM behavior for Hard, Soft and Not Available,</w:t>
        </w:r>
      </w:hyperlink>
    </w:p>
    <w:p w14:paraId="3FBCFDF0" w14:textId="5DC4B0AB" w:rsidR="00BE1617" w:rsidRDefault="00BE1617" w:rsidP="00BE1617">
      <w:pPr>
        <w:pStyle w:val="TableofFigures"/>
        <w:tabs>
          <w:tab w:val="right" w:leader="dot" w:pos="9629"/>
        </w:tabs>
        <w:jc w:val="both"/>
        <w:rPr>
          <w:rFonts w:asciiTheme="minorHAnsi" w:eastAsiaTheme="minorEastAsia" w:hAnsiTheme="minorHAnsi"/>
          <w:b w:val="0"/>
          <w:noProof/>
          <w:sz w:val="22"/>
          <w:lang w:val="sv-SE" w:eastAsia="sv-SE"/>
        </w:rPr>
      </w:pPr>
      <w:hyperlink w:anchor="_Toc87042599" w:history="1">
        <w:r w:rsidRPr="00D11CCE">
          <w:rPr>
            <w:rStyle w:val="Hyperlink"/>
            <w:noProof/>
          </w:rPr>
          <w:t>b.</w:t>
        </w:r>
        <w:r>
          <w:rPr>
            <w:rFonts w:asciiTheme="minorHAnsi" w:eastAsiaTheme="minorEastAsia" w:hAnsiTheme="minorHAnsi"/>
            <w:b w:val="0"/>
            <w:noProof/>
            <w:sz w:val="22"/>
            <w:lang w:val="sv-SE" w:eastAsia="sv-SE"/>
          </w:rPr>
          <w:tab/>
        </w:r>
        <w:r w:rsidRPr="00D11CCE">
          <w:rPr>
            <w:rStyle w:val="Hyperlink"/>
            <w:noProof/>
          </w:rPr>
          <w:t>FDM and SDM configuration details,</w:t>
        </w:r>
      </w:hyperlink>
    </w:p>
    <w:p w14:paraId="5066BAA0" w14:textId="56543373" w:rsidR="00BE1617" w:rsidRDefault="00BE1617" w:rsidP="00BE1617">
      <w:pPr>
        <w:pStyle w:val="TableofFigures"/>
        <w:tabs>
          <w:tab w:val="right" w:leader="dot" w:pos="9629"/>
        </w:tabs>
        <w:jc w:val="both"/>
        <w:rPr>
          <w:rFonts w:asciiTheme="minorHAnsi" w:eastAsiaTheme="minorEastAsia" w:hAnsiTheme="minorHAnsi"/>
          <w:b w:val="0"/>
          <w:noProof/>
          <w:sz w:val="22"/>
          <w:lang w:val="sv-SE" w:eastAsia="sv-SE"/>
        </w:rPr>
      </w:pPr>
      <w:hyperlink w:anchor="_Toc87042600" w:history="1">
        <w:r w:rsidRPr="00D11CCE">
          <w:rPr>
            <w:rStyle w:val="Hyperlink"/>
            <w:noProof/>
          </w:rPr>
          <w:t>c.</w:t>
        </w:r>
        <w:r>
          <w:rPr>
            <w:rFonts w:asciiTheme="minorHAnsi" w:eastAsiaTheme="minorEastAsia" w:hAnsiTheme="minorHAnsi"/>
            <w:b w:val="0"/>
            <w:noProof/>
            <w:sz w:val="22"/>
            <w:lang w:val="sv-SE" w:eastAsia="sv-SE"/>
          </w:rPr>
          <w:tab/>
        </w:r>
        <w:r w:rsidRPr="00D11CCE">
          <w:rPr>
            <w:rStyle w:val="Hyperlink"/>
            <w:noProof/>
          </w:rPr>
          <w:t>DCI format 2_5,</w:t>
        </w:r>
      </w:hyperlink>
    </w:p>
    <w:p w14:paraId="10126F2F" w14:textId="6A7A7080" w:rsidR="00BE1617" w:rsidRDefault="00BE1617" w:rsidP="00BE1617">
      <w:pPr>
        <w:pStyle w:val="TableofFigures"/>
        <w:tabs>
          <w:tab w:val="right" w:leader="dot" w:pos="9629"/>
        </w:tabs>
        <w:jc w:val="both"/>
        <w:rPr>
          <w:rFonts w:asciiTheme="minorHAnsi" w:eastAsiaTheme="minorEastAsia" w:hAnsiTheme="minorHAnsi"/>
          <w:b w:val="0"/>
          <w:noProof/>
          <w:sz w:val="22"/>
          <w:lang w:val="sv-SE" w:eastAsia="sv-SE"/>
        </w:rPr>
      </w:pPr>
      <w:hyperlink w:anchor="_Toc87042601" w:history="1">
        <w:r w:rsidRPr="00D11CCE">
          <w:rPr>
            <w:rStyle w:val="Hyperlink"/>
            <w:noProof/>
          </w:rPr>
          <w:t>d.</w:t>
        </w:r>
        <w:r>
          <w:rPr>
            <w:rFonts w:asciiTheme="minorHAnsi" w:eastAsiaTheme="minorEastAsia" w:hAnsiTheme="minorHAnsi"/>
            <w:b w:val="0"/>
            <w:noProof/>
            <w:sz w:val="22"/>
            <w:lang w:val="sv-SE" w:eastAsia="sv-SE"/>
          </w:rPr>
          <w:tab/>
        </w:r>
        <w:r w:rsidRPr="00D11CCE">
          <w:rPr>
            <w:rStyle w:val="Hyperlink"/>
            <w:noProof/>
          </w:rPr>
          <w:t>SDM beam indication details,</w:t>
        </w:r>
      </w:hyperlink>
    </w:p>
    <w:p w14:paraId="2E40167F" w14:textId="489E922B" w:rsidR="00BE1617" w:rsidRDefault="00BE1617" w:rsidP="00BE1617">
      <w:pPr>
        <w:pStyle w:val="TableofFigures"/>
        <w:tabs>
          <w:tab w:val="right" w:leader="dot" w:pos="9629"/>
        </w:tabs>
        <w:jc w:val="both"/>
        <w:rPr>
          <w:rFonts w:asciiTheme="minorHAnsi" w:eastAsiaTheme="minorEastAsia" w:hAnsiTheme="minorHAnsi"/>
          <w:b w:val="0"/>
          <w:noProof/>
          <w:sz w:val="22"/>
          <w:lang w:val="sv-SE" w:eastAsia="sv-SE"/>
        </w:rPr>
      </w:pPr>
      <w:hyperlink w:anchor="_Toc87042602" w:history="1">
        <w:r w:rsidRPr="00D11CCE">
          <w:rPr>
            <w:rStyle w:val="Hyperlink"/>
            <w:noProof/>
          </w:rPr>
          <w:t>e.</w:t>
        </w:r>
        <w:r>
          <w:rPr>
            <w:rFonts w:asciiTheme="minorHAnsi" w:eastAsiaTheme="minorEastAsia" w:hAnsiTheme="minorHAnsi"/>
            <w:b w:val="0"/>
            <w:noProof/>
            <w:sz w:val="22"/>
            <w:lang w:val="sv-SE" w:eastAsia="sv-SE"/>
          </w:rPr>
          <w:tab/>
        </w:r>
        <w:r w:rsidRPr="00D11CCE">
          <w:rPr>
            <w:rStyle w:val="Hyperlink"/>
            <w:noProof/>
          </w:rPr>
          <w:t>Signaling of multiplexing conditions, including capabilities and abilities, and</w:t>
        </w:r>
      </w:hyperlink>
    </w:p>
    <w:p w14:paraId="6BABD75B" w14:textId="5561C0F3" w:rsidR="00BE1617" w:rsidRDefault="00BE1617" w:rsidP="00BE1617">
      <w:pPr>
        <w:pStyle w:val="TableofFigures"/>
        <w:tabs>
          <w:tab w:val="right" w:leader="dot" w:pos="9629"/>
        </w:tabs>
        <w:jc w:val="both"/>
        <w:rPr>
          <w:rFonts w:asciiTheme="minorHAnsi" w:eastAsiaTheme="minorEastAsia" w:hAnsiTheme="minorHAnsi"/>
          <w:b w:val="0"/>
          <w:noProof/>
          <w:sz w:val="22"/>
          <w:lang w:val="sv-SE" w:eastAsia="sv-SE"/>
        </w:rPr>
      </w:pPr>
      <w:hyperlink w:anchor="_Toc87042603" w:history="1">
        <w:r w:rsidRPr="00D11CCE">
          <w:rPr>
            <w:rStyle w:val="Hyperlink"/>
            <w:noProof/>
          </w:rPr>
          <w:t>f.</w:t>
        </w:r>
        <w:r>
          <w:rPr>
            <w:rFonts w:asciiTheme="minorHAnsi" w:eastAsiaTheme="minorEastAsia" w:hAnsiTheme="minorHAnsi"/>
            <w:b w:val="0"/>
            <w:noProof/>
            <w:sz w:val="22"/>
            <w:lang w:val="sv-SE" w:eastAsia="sv-SE"/>
          </w:rPr>
          <w:tab/>
        </w:r>
        <w:r w:rsidRPr="00D11CCE">
          <w:rPr>
            <w:rStyle w:val="Hyperlink"/>
            <w:noProof/>
          </w:rPr>
          <w:t>Guard symbols for timing state transitions.</w:t>
        </w:r>
      </w:hyperlink>
    </w:p>
    <w:p w14:paraId="3A71BA5E" w14:textId="40160A01" w:rsidR="00BE1617" w:rsidRDefault="00BE1617" w:rsidP="00BE1617">
      <w:pPr>
        <w:pStyle w:val="TableofFigures"/>
        <w:tabs>
          <w:tab w:val="right" w:leader="dot" w:pos="9629"/>
        </w:tabs>
        <w:jc w:val="both"/>
        <w:rPr>
          <w:rFonts w:asciiTheme="minorHAnsi" w:eastAsiaTheme="minorEastAsia" w:hAnsiTheme="minorHAnsi"/>
          <w:b w:val="0"/>
          <w:noProof/>
          <w:sz w:val="22"/>
          <w:lang w:val="sv-SE" w:eastAsia="sv-SE"/>
        </w:rPr>
      </w:pPr>
      <w:hyperlink w:anchor="_Toc87042604" w:history="1">
        <w:r w:rsidRPr="00D11CCE">
          <w:rPr>
            <w:rStyle w:val="Hyperlink"/>
            <w:noProof/>
          </w:rPr>
          <w:t>Proposal 3</w:t>
        </w:r>
        <w:r>
          <w:rPr>
            <w:rFonts w:asciiTheme="minorHAnsi" w:eastAsiaTheme="minorEastAsia" w:hAnsiTheme="minorHAnsi"/>
            <w:b w:val="0"/>
            <w:noProof/>
            <w:sz w:val="22"/>
            <w:lang w:val="sv-SE" w:eastAsia="sv-SE"/>
          </w:rPr>
          <w:tab/>
        </w:r>
        <w:r w:rsidRPr="00D11CCE">
          <w:rPr>
            <w:rStyle w:val="Hyperlink"/>
            <w:noProof/>
          </w:rPr>
          <w:t>Down prioritize scenarios including both simultaneous operations and dual connectivity.</w:t>
        </w:r>
      </w:hyperlink>
    </w:p>
    <w:p w14:paraId="0C29C604" w14:textId="380768D0" w:rsidR="006E1C82" w:rsidRPr="00CE0424" w:rsidRDefault="006E1C82" w:rsidP="00BE1617">
      <w:pPr>
        <w:pStyle w:val="BodyText"/>
        <w:rPr>
          <w:b/>
          <w:bCs/>
        </w:rPr>
      </w:pPr>
      <w:r>
        <w:rPr>
          <w:b/>
          <w:bCs/>
        </w:rPr>
        <w:fldChar w:fldCharType="end"/>
      </w:r>
    </w:p>
    <w:p w14:paraId="399E383B" w14:textId="77777777" w:rsidR="00F507D1" w:rsidRPr="00CE0424" w:rsidRDefault="00F507D1" w:rsidP="00CE0424">
      <w:pPr>
        <w:pStyle w:val="Heading1"/>
      </w:pPr>
      <w:bookmarkStart w:id="17" w:name="_In-sequence_SDU_delivery"/>
      <w:bookmarkEnd w:id="17"/>
      <w:r w:rsidRPr="00CE0424">
        <w:t>References</w:t>
      </w:r>
    </w:p>
    <w:p w14:paraId="57BD0AF3" w14:textId="5BF35FAF" w:rsidR="003A7EF3" w:rsidRPr="00CE0424" w:rsidRDefault="002839A8" w:rsidP="00CE0424">
      <w:pPr>
        <w:pStyle w:val="Reference"/>
      </w:pPr>
      <w:bookmarkStart w:id="18" w:name="_Ref86862957"/>
      <w:bookmarkStart w:id="19" w:name="_Ref174151459"/>
      <w:bookmarkStart w:id="20" w:name="_Ref189809556"/>
      <w:r w:rsidRPr="002839A8">
        <w:t>RP-211548</w:t>
      </w:r>
      <w:r w:rsidR="005F3025" w:rsidRPr="00CE0424">
        <w:t xml:space="preserve">, </w:t>
      </w:r>
      <w:r>
        <w:t>“</w:t>
      </w:r>
      <w:r w:rsidRPr="002839A8">
        <w:t>New WID on Enhancements to Integrated Access</w:t>
      </w:r>
      <w:r>
        <w:t>,” Qualcomm</w:t>
      </w:r>
      <w:r w:rsidR="005F3025" w:rsidRPr="00CE0424">
        <w:t>,</w:t>
      </w:r>
      <w:r>
        <w:t xml:space="preserve"> RAN</w:t>
      </w:r>
      <w:r w:rsidR="005F3025" w:rsidRPr="00CE0424">
        <w:t xml:space="preserve"> </w:t>
      </w:r>
      <w:r>
        <w:t>#92-e, June 2021.</w:t>
      </w:r>
      <w:bookmarkEnd w:id="18"/>
      <w:bookmarkEnd w:id="19"/>
      <w:bookmarkEnd w:id="20"/>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E64C22" w14:textId="77777777" w:rsidR="00950ED3" w:rsidRDefault="00950ED3">
      <w:r>
        <w:separator/>
      </w:r>
    </w:p>
  </w:endnote>
  <w:endnote w:type="continuationSeparator" w:id="0">
    <w:p w14:paraId="5DFD674E" w14:textId="77777777" w:rsidR="00950ED3" w:rsidRDefault="00950ED3">
      <w:r>
        <w:continuationSeparator/>
      </w:r>
    </w:p>
  </w:endnote>
  <w:endnote w:type="continuationNotice" w:id="1">
    <w:p w14:paraId="51E7CC1B" w14:textId="77777777" w:rsidR="00950ED3" w:rsidRDefault="00950E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0BB09" w14:textId="77777777" w:rsidR="00950ED3" w:rsidRDefault="00950ED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FF9A0C" w14:textId="77777777" w:rsidR="00950ED3" w:rsidRDefault="00950ED3">
      <w:r>
        <w:separator/>
      </w:r>
    </w:p>
  </w:footnote>
  <w:footnote w:type="continuationSeparator" w:id="0">
    <w:p w14:paraId="07DE253D" w14:textId="77777777" w:rsidR="00950ED3" w:rsidRDefault="00950ED3">
      <w:r>
        <w:continuationSeparator/>
      </w:r>
    </w:p>
  </w:footnote>
  <w:footnote w:type="continuationNotice" w:id="1">
    <w:p w14:paraId="7B5B3422" w14:textId="77777777" w:rsidR="00950ED3" w:rsidRDefault="00950ED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8222A6" w14:textId="77777777" w:rsidR="00950ED3" w:rsidRDefault="00950ED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3342F1D"/>
    <w:multiLevelType w:val="hybridMultilevel"/>
    <w:tmpl w:val="46B29C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EB3108"/>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196C12"/>
    <w:multiLevelType w:val="hybridMultilevel"/>
    <w:tmpl w:val="7EA057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86506BC"/>
    <w:multiLevelType w:val="hybridMultilevel"/>
    <w:tmpl w:val="F66C0E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9"/>
  </w:num>
  <w:num w:numId="6">
    <w:abstractNumId w:val="17"/>
  </w:num>
  <w:num w:numId="7">
    <w:abstractNumId w:val="22"/>
  </w:num>
  <w:num w:numId="8">
    <w:abstractNumId w:val="10"/>
  </w:num>
  <w:num w:numId="9">
    <w:abstractNumId w:val="8"/>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3"/>
  </w:num>
  <w:num w:numId="17">
    <w:abstractNumId w:val="5"/>
  </w:num>
  <w:num w:numId="18">
    <w:abstractNumId w:val="7"/>
  </w:num>
  <w:num w:numId="19">
    <w:abstractNumId w:val="4"/>
  </w:num>
  <w:num w:numId="20">
    <w:abstractNumId w:val="25"/>
  </w:num>
  <w:num w:numId="21">
    <w:abstractNumId w:val="11"/>
  </w:num>
  <w:num w:numId="22">
    <w:abstractNumId w:val="24"/>
  </w:num>
  <w:num w:numId="23">
    <w:abstractNumId w:val="12"/>
  </w:num>
  <w:num w:numId="24">
    <w:abstractNumId w:val="15"/>
  </w:num>
  <w:num w:numId="25">
    <w:abstractNumId w:val="19"/>
  </w:num>
  <w:num w:numId="26">
    <w:abstractNumId w:val="26"/>
  </w:num>
  <w:num w:numId="2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1AC"/>
    <w:rsid w:val="000006E1"/>
    <w:rsid w:val="00002A37"/>
    <w:rsid w:val="0000564C"/>
    <w:rsid w:val="00006446"/>
    <w:rsid w:val="00006896"/>
    <w:rsid w:val="00007CDC"/>
    <w:rsid w:val="00011B28"/>
    <w:rsid w:val="00015D15"/>
    <w:rsid w:val="0002564D"/>
    <w:rsid w:val="00025ECA"/>
    <w:rsid w:val="000325B8"/>
    <w:rsid w:val="00034C15"/>
    <w:rsid w:val="00035C39"/>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2FE0"/>
    <w:rsid w:val="000855EB"/>
    <w:rsid w:val="00085B52"/>
    <w:rsid w:val="000866F2"/>
    <w:rsid w:val="0009009F"/>
    <w:rsid w:val="00091557"/>
    <w:rsid w:val="000924C1"/>
    <w:rsid w:val="000924F0"/>
    <w:rsid w:val="00093474"/>
    <w:rsid w:val="0009510F"/>
    <w:rsid w:val="000A1B7B"/>
    <w:rsid w:val="000A56F2"/>
    <w:rsid w:val="000A7D51"/>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06871"/>
    <w:rsid w:val="00113CF4"/>
    <w:rsid w:val="001153EA"/>
    <w:rsid w:val="00115643"/>
    <w:rsid w:val="00116765"/>
    <w:rsid w:val="001219F5"/>
    <w:rsid w:val="00121A20"/>
    <w:rsid w:val="0012377F"/>
    <w:rsid w:val="00124314"/>
    <w:rsid w:val="0012615D"/>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E84"/>
    <w:rsid w:val="00181FF8"/>
    <w:rsid w:val="00190AC1"/>
    <w:rsid w:val="0019294E"/>
    <w:rsid w:val="0019341A"/>
    <w:rsid w:val="00197DF9"/>
    <w:rsid w:val="001A1987"/>
    <w:rsid w:val="001A2564"/>
    <w:rsid w:val="001A6173"/>
    <w:rsid w:val="001A6CBA"/>
    <w:rsid w:val="001B0D97"/>
    <w:rsid w:val="001B5A5D"/>
    <w:rsid w:val="001B6643"/>
    <w:rsid w:val="001C1CE5"/>
    <w:rsid w:val="001C3D2A"/>
    <w:rsid w:val="001D51BA"/>
    <w:rsid w:val="001D53E7"/>
    <w:rsid w:val="001D59BF"/>
    <w:rsid w:val="001D6342"/>
    <w:rsid w:val="001D6D53"/>
    <w:rsid w:val="001E58E2"/>
    <w:rsid w:val="001E7AED"/>
    <w:rsid w:val="001F3749"/>
    <w:rsid w:val="001F3916"/>
    <w:rsid w:val="001F4B1F"/>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47818"/>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9A8"/>
    <w:rsid w:val="00286ACD"/>
    <w:rsid w:val="00287838"/>
    <w:rsid w:val="00287FAD"/>
    <w:rsid w:val="002907B5"/>
    <w:rsid w:val="00292EB7"/>
    <w:rsid w:val="00296227"/>
    <w:rsid w:val="00296F44"/>
    <w:rsid w:val="0029777D"/>
    <w:rsid w:val="002A055E"/>
    <w:rsid w:val="002A1D4E"/>
    <w:rsid w:val="002A2869"/>
    <w:rsid w:val="002B24D6"/>
    <w:rsid w:val="002C41E6"/>
    <w:rsid w:val="002C5269"/>
    <w:rsid w:val="002D071A"/>
    <w:rsid w:val="002D30E4"/>
    <w:rsid w:val="002D34B2"/>
    <w:rsid w:val="002D48B0"/>
    <w:rsid w:val="002D5B37"/>
    <w:rsid w:val="002D6128"/>
    <w:rsid w:val="002D7637"/>
    <w:rsid w:val="002E17F2"/>
    <w:rsid w:val="002E7CAE"/>
    <w:rsid w:val="002F13E4"/>
    <w:rsid w:val="002F2771"/>
    <w:rsid w:val="002F37A9"/>
    <w:rsid w:val="00301CE6"/>
    <w:rsid w:val="0030256B"/>
    <w:rsid w:val="0030501F"/>
    <w:rsid w:val="00307BA1"/>
    <w:rsid w:val="003100A0"/>
    <w:rsid w:val="00311693"/>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63AE"/>
    <w:rsid w:val="00357380"/>
    <w:rsid w:val="003602D9"/>
    <w:rsid w:val="003604CE"/>
    <w:rsid w:val="00360ED2"/>
    <w:rsid w:val="00363B59"/>
    <w:rsid w:val="00370E47"/>
    <w:rsid w:val="003742AC"/>
    <w:rsid w:val="003755A0"/>
    <w:rsid w:val="00377CE1"/>
    <w:rsid w:val="00385BF0"/>
    <w:rsid w:val="003939FF"/>
    <w:rsid w:val="00396567"/>
    <w:rsid w:val="003A2223"/>
    <w:rsid w:val="003A2A0F"/>
    <w:rsid w:val="003A45A1"/>
    <w:rsid w:val="003A5B0A"/>
    <w:rsid w:val="003A6BAC"/>
    <w:rsid w:val="003A70A4"/>
    <w:rsid w:val="003A7EF3"/>
    <w:rsid w:val="003B159C"/>
    <w:rsid w:val="003B369F"/>
    <w:rsid w:val="003B36A3"/>
    <w:rsid w:val="003B45B7"/>
    <w:rsid w:val="003B64BB"/>
    <w:rsid w:val="003B7FE5"/>
    <w:rsid w:val="003C11C8"/>
    <w:rsid w:val="003C2702"/>
    <w:rsid w:val="003C7806"/>
    <w:rsid w:val="003D109F"/>
    <w:rsid w:val="003D2478"/>
    <w:rsid w:val="003D3C45"/>
    <w:rsid w:val="003D5B1F"/>
    <w:rsid w:val="003E06C5"/>
    <w:rsid w:val="003E15FA"/>
    <w:rsid w:val="003E55E4"/>
    <w:rsid w:val="003E74E3"/>
    <w:rsid w:val="003F05C7"/>
    <w:rsid w:val="003F2CD4"/>
    <w:rsid w:val="003F6BBE"/>
    <w:rsid w:val="004000E8"/>
    <w:rsid w:val="00402E2B"/>
    <w:rsid w:val="0040512B"/>
    <w:rsid w:val="00405CA5"/>
    <w:rsid w:val="00407630"/>
    <w:rsid w:val="00407CD3"/>
    <w:rsid w:val="00410134"/>
    <w:rsid w:val="00410B72"/>
    <w:rsid w:val="00410F18"/>
    <w:rsid w:val="0041263E"/>
    <w:rsid w:val="00413AAC"/>
    <w:rsid w:val="00413E92"/>
    <w:rsid w:val="00421105"/>
    <w:rsid w:val="00421EC5"/>
    <w:rsid w:val="00422AA4"/>
    <w:rsid w:val="004242F4"/>
    <w:rsid w:val="00427248"/>
    <w:rsid w:val="00427541"/>
    <w:rsid w:val="00437447"/>
    <w:rsid w:val="00441A92"/>
    <w:rsid w:val="004431DC"/>
    <w:rsid w:val="00444F56"/>
    <w:rsid w:val="00445630"/>
    <w:rsid w:val="00446488"/>
    <w:rsid w:val="00450837"/>
    <w:rsid w:val="004517AA"/>
    <w:rsid w:val="00452CAC"/>
    <w:rsid w:val="00457041"/>
    <w:rsid w:val="00457565"/>
    <w:rsid w:val="00457B71"/>
    <w:rsid w:val="0046378C"/>
    <w:rsid w:val="00464689"/>
    <w:rsid w:val="004669E2"/>
    <w:rsid w:val="00470C31"/>
    <w:rsid w:val="0047181F"/>
    <w:rsid w:val="00471DE0"/>
    <w:rsid w:val="004734D0"/>
    <w:rsid w:val="0047556B"/>
    <w:rsid w:val="00477768"/>
    <w:rsid w:val="0048605B"/>
    <w:rsid w:val="00492BC5"/>
    <w:rsid w:val="004964F1"/>
    <w:rsid w:val="004A16BC"/>
    <w:rsid w:val="004A2B94"/>
    <w:rsid w:val="004B6F6A"/>
    <w:rsid w:val="004B7C0C"/>
    <w:rsid w:val="004C3898"/>
    <w:rsid w:val="004D36B1"/>
    <w:rsid w:val="004D7067"/>
    <w:rsid w:val="004D7EBD"/>
    <w:rsid w:val="004E2680"/>
    <w:rsid w:val="004E28F9"/>
    <w:rsid w:val="004E462E"/>
    <w:rsid w:val="004E56DC"/>
    <w:rsid w:val="004E76F4"/>
    <w:rsid w:val="004E7C50"/>
    <w:rsid w:val="004F0B4E"/>
    <w:rsid w:val="004F0B6C"/>
    <w:rsid w:val="004F2078"/>
    <w:rsid w:val="004F4DA3"/>
    <w:rsid w:val="00506557"/>
    <w:rsid w:val="0050677A"/>
    <w:rsid w:val="005108D8"/>
    <w:rsid w:val="005116F9"/>
    <w:rsid w:val="005153A7"/>
    <w:rsid w:val="005219CF"/>
    <w:rsid w:val="00534A39"/>
    <w:rsid w:val="00534B59"/>
    <w:rsid w:val="00535CF3"/>
    <w:rsid w:val="00536759"/>
    <w:rsid w:val="00537C62"/>
    <w:rsid w:val="00546970"/>
    <w:rsid w:val="005541CC"/>
    <w:rsid w:val="00554E19"/>
    <w:rsid w:val="00557B4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1B8E"/>
    <w:rsid w:val="005F2CB1"/>
    <w:rsid w:val="005F3025"/>
    <w:rsid w:val="005F618C"/>
    <w:rsid w:val="005F70BD"/>
    <w:rsid w:val="00600D13"/>
    <w:rsid w:val="0060283C"/>
    <w:rsid w:val="00604F14"/>
    <w:rsid w:val="00611B83"/>
    <w:rsid w:val="00613257"/>
    <w:rsid w:val="00620A71"/>
    <w:rsid w:val="00620D80"/>
    <w:rsid w:val="006234A6"/>
    <w:rsid w:val="00630001"/>
    <w:rsid w:val="006311B3"/>
    <w:rsid w:val="0063284C"/>
    <w:rsid w:val="00634E4A"/>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779"/>
    <w:rsid w:val="006741F2"/>
    <w:rsid w:val="006744A0"/>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7FE"/>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57F0"/>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259C"/>
    <w:rsid w:val="007A306F"/>
    <w:rsid w:val="007A43A6"/>
    <w:rsid w:val="007A44B6"/>
    <w:rsid w:val="007A58A6"/>
    <w:rsid w:val="007A6D1B"/>
    <w:rsid w:val="007B3D2D"/>
    <w:rsid w:val="007B50AE"/>
    <w:rsid w:val="007B51DF"/>
    <w:rsid w:val="007C05DD"/>
    <w:rsid w:val="007C3D18"/>
    <w:rsid w:val="007C60BF"/>
    <w:rsid w:val="007C6A07"/>
    <w:rsid w:val="007C75A1"/>
    <w:rsid w:val="007C77A5"/>
    <w:rsid w:val="007D04E5"/>
    <w:rsid w:val="007D2670"/>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166D"/>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2A69"/>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4AF3"/>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3D6B"/>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0ED3"/>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A6FD6"/>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644C"/>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D78"/>
    <w:rsid w:val="00A41E2B"/>
    <w:rsid w:val="00A45B74"/>
    <w:rsid w:val="00A52E1D"/>
    <w:rsid w:val="00A61499"/>
    <w:rsid w:val="00A62A77"/>
    <w:rsid w:val="00A63483"/>
    <w:rsid w:val="00A657D7"/>
    <w:rsid w:val="00A660AC"/>
    <w:rsid w:val="00A67E6C"/>
    <w:rsid w:val="00A71B99"/>
    <w:rsid w:val="00A739D0"/>
    <w:rsid w:val="00A75CA4"/>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0530"/>
    <w:rsid w:val="00AF1C5D"/>
    <w:rsid w:val="00AF42D7"/>
    <w:rsid w:val="00AF62A4"/>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13D8"/>
    <w:rsid w:val="00B739F6"/>
    <w:rsid w:val="00B8168B"/>
    <w:rsid w:val="00B81A6C"/>
    <w:rsid w:val="00B831AC"/>
    <w:rsid w:val="00B85DE5"/>
    <w:rsid w:val="00B90F73"/>
    <w:rsid w:val="00B93B59"/>
    <w:rsid w:val="00B9406A"/>
    <w:rsid w:val="00B95B28"/>
    <w:rsid w:val="00BA2280"/>
    <w:rsid w:val="00BA2A08"/>
    <w:rsid w:val="00BA56D2"/>
    <w:rsid w:val="00BA733D"/>
    <w:rsid w:val="00BA76E0"/>
    <w:rsid w:val="00BB2A25"/>
    <w:rsid w:val="00BB51E9"/>
    <w:rsid w:val="00BC0FDC"/>
    <w:rsid w:val="00BC3053"/>
    <w:rsid w:val="00BC4D2E"/>
    <w:rsid w:val="00BD2EA4"/>
    <w:rsid w:val="00BD48AC"/>
    <w:rsid w:val="00BD5F1A"/>
    <w:rsid w:val="00BE1234"/>
    <w:rsid w:val="00BE1617"/>
    <w:rsid w:val="00BE2FA6"/>
    <w:rsid w:val="00BE333F"/>
    <w:rsid w:val="00BE6B7B"/>
    <w:rsid w:val="00BE7406"/>
    <w:rsid w:val="00BE7603"/>
    <w:rsid w:val="00BF18F5"/>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2057"/>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5792F"/>
    <w:rsid w:val="00D61AF5"/>
    <w:rsid w:val="00D652B5"/>
    <w:rsid w:val="00D66155"/>
    <w:rsid w:val="00D66AD1"/>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2523"/>
    <w:rsid w:val="00DB377D"/>
    <w:rsid w:val="00DC2D36"/>
    <w:rsid w:val="00DC53EF"/>
    <w:rsid w:val="00DE5608"/>
    <w:rsid w:val="00DE58D0"/>
    <w:rsid w:val="00DE654F"/>
    <w:rsid w:val="00DF0B6E"/>
    <w:rsid w:val="00DF15E0"/>
    <w:rsid w:val="00DF37A0"/>
    <w:rsid w:val="00E10FB3"/>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286"/>
    <w:rsid w:val="00E63838"/>
    <w:rsid w:val="00E64434"/>
    <w:rsid w:val="00E65917"/>
    <w:rsid w:val="00E67C51"/>
    <w:rsid w:val="00E72EFC"/>
    <w:rsid w:val="00E758EC"/>
    <w:rsid w:val="00E8234C"/>
    <w:rsid w:val="00E83AA9"/>
    <w:rsid w:val="00E85928"/>
    <w:rsid w:val="00E87822"/>
    <w:rsid w:val="00E90395"/>
    <w:rsid w:val="00E90E49"/>
    <w:rsid w:val="00E917F9"/>
    <w:rsid w:val="00E9291C"/>
    <w:rsid w:val="00E934BF"/>
    <w:rsid w:val="00E93FFE"/>
    <w:rsid w:val="00E94F8A"/>
    <w:rsid w:val="00EA7A41"/>
    <w:rsid w:val="00EB077B"/>
    <w:rsid w:val="00EB4EA2"/>
    <w:rsid w:val="00EC24D5"/>
    <w:rsid w:val="00EC27C6"/>
    <w:rsid w:val="00EC4207"/>
    <w:rsid w:val="00EC5653"/>
    <w:rsid w:val="00EC710B"/>
    <w:rsid w:val="00EC71CE"/>
    <w:rsid w:val="00ED1006"/>
    <w:rsid w:val="00EF18FE"/>
    <w:rsid w:val="00EF5787"/>
    <w:rsid w:val="00EF60D0"/>
    <w:rsid w:val="00F0034C"/>
    <w:rsid w:val="00F0528D"/>
    <w:rsid w:val="00F06C67"/>
    <w:rsid w:val="00F06DFD"/>
    <w:rsid w:val="00F071D1"/>
    <w:rsid w:val="00F07533"/>
    <w:rsid w:val="00F10629"/>
    <w:rsid w:val="00F112F0"/>
    <w:rsid w:val="00F15F8A"/>
    <w:rsid w:val="00F15FA5"/>
    <w:rsid w:val="00F209B7"/>
    <w:rsid w:val="00F2376F"/>
    <w:rsid w:val="00F243D8"/>
    <w:rsid w:val="00F30472"/>
    <w:rsid w:val="00F30828"/>
    <w:rsid w:val="00F313D6"/>
    <w:rsid w:val="00F40F0C"/>
    <w:rsid w:val="00F42998"/>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3E0F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목록 단락,リスト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목록 단락 Char,リスト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407630"/>
    <w:rPr>
      <w:color w:val="605E5C"/>
      <w:shd w:val="clear" w:color="auto" w:fill="E1DFDD"/>
    </w:rPr>
  </w:style>
  <w:style w:type="character" w:styleId="Mention">
    <w:name w:val="Mention"/>
    <w:basedOn w:val="DefaultParagraphFont"/>
    <w:uiPriority w:val="99"/>
    <w:unhideWhenUsed/>
    <w:rsid w:val="0040763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7902F-A486-44DE-B762-6847FD66B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892</Words>
  <Characters>5291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2021-11-05T21:10:00Z</dcterms:created>
  <dcterms:modified xsi:type="dcterms:W3CDTF">2021-11-05T21:10:00Z</dcterms:modified>
  <cp:category/>
</cp:coreProperties>
</file>